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D88" w:rsidP="0041380C" w:rsidRDefault="00AF4D88" w14:paraId="1DE88C5E" w14:textId="1F3A8AB9">
      <w:pPr>
        <w:spacing w:line="276" w:lineRule="auto"/>
        <w:jc w:val="both"/>
      </w:pPr>
      <w:r>
        <w:t xml:space="preserve">Dear </w:t>
      </w:r>
      <w:r w:rsidR="003B0578">
        <w:t>[</w:t>
      </w:r>
      <w:r w:rsidRPr="003B0578" w:rsidR="003B0578">
        <w:rPr>
          <w:color w:val="EE0000"/>
        </w:rPr>
        <w:t>MPs name</w:t>
      </w:r>
      <w:r w:rsidR="003B0578">
        <w:t>]</w:t>
      </w:r>
      <w:r>
        <w:t>,</w:t>
      </w:r>
    </w:p>
    <w:p w:rsidR="00AF4D88" w:rsidP="0041380C" w:rsidRDefault="00AF4D88" w14:paraId="7D5DA3F9" w14:textId="77777777">
      <w:pPr>
        <w:spacing w:line="276" w:lineRule="auto"/>
        <w:jc w:val="both"/>
      </w:pPr>
    </w:p>
    <w:p w:rsidRPr="00E32633" w:rsidR="00AF4D88" w:rsidP="0041380C" w:rsidRDefault="00E32633" w14:paraId="0C687FA5" w14:textId="78383640">
      <w:pPr>
        <w:spacing w:line="276" w:lineRule="auto"/>
        <w:jc w:val="both"/>
      </w:pPr>
      <w:r>
        <w:t xml:space="preserve">I am writing to you on behalf of </w:t>
      </w:r>
      <w:r w:rsidR="003B0578">
        <w:t>[</w:t>
      </w:r>
      <w:r w:rsidRPr="003B0578" w:rsidR="003B0578">
        <w:rPr>
          <w:color w:val="EE0000"/>
        </w:rPr>
        <w:t>company/organisations name</w:t>
      </w:r>
      <w:r w:rsidR="003B0578">
        <w:t>]</w:t>
      </w:r>
      <w:r>
        <w:t xml:space="preserve"> </w:t>
      </w:r>
      <w:r w:rsidR="00AF4D88">
        <w:rPr>
          <w:lang w:val="en-US"/>
        </w:rPr>
        <w:t xml:space="preserve">concerning </w:t>
      </w:r>
      <w:r>
        <w:rPr>
          <w:lang w:val="en-US"/>
        </w:rPr>
        <w:t xml:space="preserve">the </w:t>
      </w:r>
      <w:r w:rsidR="00AF4D88">
        <w:rPr>
          <w:lang w:val="en-US"/>
        </w:rPr>
        <w:t>proposed changes to Control of Lead at Work Regulations 2002 (CLAW) by the Health and Safety Executive (HSE), which aims to significantly reduce the permitted levels of lead (Pb) in workers’ blood.</w:t>
      </w:r>
    </w:p>
    <w:p w:rsidR="00AF4D88" w:rsidP="0041380C" w:rsidRDefault="00AF4D88" w14:paraId="1FF59DE8" w14:textId="77777777">
      <w:pPr>
        <w:spacing w:line="276" w:lineRule="auto"/>
        <w:jc w:val="both"/>
        <w:rPr>
          <w:lang w:val="en-US"/>
        </w:rPr>
      </w:pPr>
    </w:p>
    <w:p w:rsidR="00AF4D88" w:rsidP="0041380C" w:rsidRDefault="00AF4D88" w14:paraId="2CB79344" w14:textId="76FFBA66">
      <w:pPr>
        <w:spacing w:line="276" w:lineRule="auto"/>
        <w:jc w:val="both"/>
        <w:rPr>
          <w:lang w:val="en-US"/>
        </w:rPr>
      </w:pPr>
      <w:r>
        <w:rPr>
          <w:lang w:val="en-US"/>
        </w:rPr>
        <w:t xml:space="preserve">The CLAW regulations aim to ensure that everyone working with lead does so in a way that is considered safe by strictly defining ‘action’ and ‘suspension’ blood-lead levels that employers/employees must adhere to. The HSE believes that the current blood-lead exposure levels in UK workers are too high and has formally opened </w:t>
      </w:r>
      <w:r w:rsidR="00E32633">
        <w:rPr>
          <w:lang w:val="en-US"/>
        </w:rPr>
        <w:t>their</w:t>
      </w:r>
      <w:r>
        <w:rPr>
          <w:lang w:val="en-US"/>
        </w:rPr>
        <w:t xml:space="preserve"> consultation on proposed changes to the current CLAW regulations:  </w:t>
      </w:r>
      <w:hyperlink w:history="1" r:id="rId9">
        <w:r>
          <w:rPr>
            <w:rStyle w:val="Hyperlink"/>
            <w:rFonts w:eastAsia="Times New Roman" w:cs="Arial"/>
          </w:rPr>
          <w:t>https://consultations.hse.gov.uk/hse/control-lead-at-work-regs-2002-exposure-guidance/</w:t>
        </w:r>
      </w:hyperlink>
    </w:p>
    <w:p w:rsidR="00AF4D88" w:rsidP="0041380C" w:rsidRDefault="00AF4D88" w14:paraId="19996435" w14:textId="77777777">
      <w:pPr>
        <w:spacing w:line="276" w:lineRule="auto"/>
        <w:jc w:val="both"/>
        <w:rPr>
          <w:lang w:val="en-US"/>
        </w:rPr>
      </w:pPr>
    </w:p>
    <w:p w:rsidR="00AF4D88" w:rsidP="0041380C" w:rsidRDefault="00AF4D88" w14:paraId="2CA60A30" w14:textId="585F3F0B">
      <w:pPr>
        <w:spacing w:line="276" w:lineRule="auto"/>
        <w:jc w:val="both"/>
        <w:rPr>
          <w:lang w:val="en-US"/>
        </w:rPr>
      </w:pPr>
      <w:r>
        <w:rPr>
          <w:lang w:val="en-US"/>
        </w:rPr>
        <w:t xml:space="preserve">Launched on 30 March 2026, the consultation seeks views on substantially lowering the allowable blood-lead exposure levels within the workplace for three groups: </w:t>
      </w:r>
      <w:r w:rsidR="0041380C">
        <w:rPr>
          <w:lang w:val="en-US"/>
        </w:rPr>
        <w:t>General Employees, Women of Reproductive Capacity, and Young Persons.</w:t>
      </w:r>
    </w:p>
    <w:p w:rsidR="00E32633" w:rsidP="00E32633" w:rsidRDefault="00E32633" w14:paraId="1FB2BF03" w14:textId="77777777">
      <w:pPr>
        <w:rPr>
          <w:rFonts w:ascii="Arial" w:hAnsi="Arial" w:eastAsia="Times New Roman" w:cs="Arial"/>
          <w:color w:val="231F20"/>
        </w:rPr>
      </w:pPr>
    </w:p>
    <w:tbl>
      <w:tblPr>
        <w:tblW w:w="10364" w:type="dxa"/>
        <w:tblCellMar>
          <w:left w:w="0" w:type="dxa"/>
          <w:right w:w="0" w:type="dxa"/>
        </w:tblCellMar>
        <w:tblLook w:val="04A0" w:firstRow="1" w:lastRow="0" w:firstColumn="1" w:lastColumn="0" w:noHBand="0" w:noVBand="1"/>
      </w:tblPr>
      <w:tblGrid>
        <w:gridCol w:w="1622"/>
        <w:gridCol w:w="1457"/>
        <w:gridCol w:w="1457"/>
        <w:gridCol w:w="1457"/>
        <w:gridCol w:w="1457"/>
        <w:gridCol w:w="1457"/>
        <w:gridCol w:w="1457"/>
      </w:tblGrid>
      <w:tr w:rsidR="00E32633" w:rsidTr="0041380C" w14:paraId="32960FD2" w14:textId="77777777">
        <w:trPr>
          <w:trHeight w:val="397"/>
        </w:trPr>
        <w:tc>
          <w:tcPr>
            <w:tcW w:w="1622" w:type="dxa"/>
            <w:tcBorders>
              <w:top w:val="single" w:color="auto" w:sz="8" w:space="0"/>
              <w:left w:val="single" w:color="auto" w:sz="8" w:space="0"/>
              <w:bottom w:val="single" w:color="auto" w:sz="8" w:space="0"/>
              <w:right w:val="single" w:color="auto" w:sz="8" w:space="0"/>
            </w:tcBorders>
            <w:tcMar>
              <w:top w:w="57" w:type="dxa"/>
              <w:left w:w="57" w:type="dxa"/>
              <w:bottom w:w="57" w:type="dxa"/>
              <w:right w:w="57" w:type="dxa"/>
            </w:tcMar>
            <w:vAlign w:val="bottom"/>
            <w:hideMark/>
          </w:tcPr>
          <w:p w:rsidR="00E32633" w:rsidRDefault="00E32633" w14:paraId="2756940F" w14:textId="77777777">
            <w:pPr>
              <w:rPr>
                <w:rFonts w:ascii="Arial" w:hAnsi="Arial" w:eastAsia="Times New Roman" w:cs="Arial"/>
                <w:color w:val="231F20"/>
                <w:sz w:val="22"/>
                <w:szCs w:val="22"/>
              </w:rPr>
            </w:pPr>
            <w:r>
              <w:rPr>
                <w:rFonts w:ascii="Arial" w:hAnsi="Arial" w:eastAsia="Times New Roman" w:cs="Arial"/>
                <w:color w:val="231F20"/>
                <w:sz w:val="22"/>
                <w:szCs w:val="22"/>
              </w:rPr>
              <w:t> </w:t>
            </w:r>
          </w:p>
        </w:tc>
        <w:tc>
          <w:tcPr>
            <w:tcW w:w="4371" w:type="dxa"/>
            <w:gridSpan w:val="3"/>
            <w:tcBorders>
              <w:top w:val="single" w:color="auto" w:sz="8" w:space="0"/>
              <w:left w:val="nil"/>
              <w:bottom w:val="single" w:color="auto" w:sz="8" w:space="0"/>
              <w:right w:val="single" w:color="auto" w:sz="8" w:space="0"/>
            </w:tcBorders>
            <w:shd w:val="clear" w:color="auto" w:fill="ED7D31"/>
            <w:tcMar>
              <w:top w:w="57" w:type="dxa"/>
              <w:left w:w="57" w:type="dxa"/>
              <w:bottom w:w="57" w:type="dxa"/>
              <w:right w:w="57" w:type="dxa"/>
            </w:tcMar>
            <w:vAlign w:val="center"/>
            <w:hideMark/>
          </w:tcPr>
          <w:p w:rsidR="00E32633" w:rsidRDefault="00E32633" w14:paraId="3F7ABF3E" w14:textId="77777777">
            <w:pPr>
              <w:jc w:val="center"/>
              <w:rPr>
                <w:rFonts w:ascii="Arial" w:hAnsi="Arial" w:eastAsia="Times New Roman" w:cs="Arial"/>
                <w:color w:val="FFFFFF"/>
                <w:sz w:val="22"/>
                <w:szCs w:val="22"/>
              </w:rPr>
            </w:pPr>
            <w:r>
              <w:rPr>
                <w:rFonts w:ascii="Arial" w:hAnsi="Arial" w:eastAsia="Times New Roman" w:cs="Arial"/>
                <w:b/>
                <w:bCs/>
                <w:color w:val="FFFFFF"/>
                <w:sz w:val="22"/>
                <w:szCs w:val="22"/>
              </w:rPr>
              <w:t>ACTION LEVEL</w:t>
            </w:r>
          </w:p>
        </w:tc>
        <w:tc>
          <w:tcPr>
            <w:tcW w:w="4371" w:type="dxa"/>
            <w:gridSpan w:val="3"/>
            <w:tcBorders>
              <w:top w:val="single" w:color="auto" w:sz="8" w:space="0"/>
              <w:left w:val="nil"/>
              <w:bottom w:val="single" w:color="auto" w:sz="8" w:space="0"/>
              <w:right w:val="single" w:color="auto" w:sz="8" w:space="0"/>
            </w:tcBorders>
            <w:shd w:val="clear" w:color="auto" w:fill="9E0000"/>
            <w:tcMar>
              <w:top w:w="57" w:type="dxa"/>
              <w:left w:w="57" w:type="dxa"/>
              <w:bottom w:w="57" w:type="dxa"/>
              <w:right w:w="57" w:type="dxa"/>
            </w:tcMar>
            <w:vAlign w:val="center"/>
            <w:hideMark/>
          </w:tcPr>
          <w:p w:rsidR="00E32633" w:rsidRDefault="008855A7" w14:paraId="6307856A" w14:textId="2191AA60">
            <w:pPr>
              <w:jc w:val="center"/>
              <w:rPr>
                <w:rFonts w:ascii="Arial" w:hAnsi="Arial" w:eastAsia="Times New Roman" w:cs="Arial"/>
                <w:color w:val="FFFFFF"/>
                <w:sz w:val="22"/>
                <w:szCs w:val="22"/>
              </w:rPr>
            </w:pPr>
            <w:r>
              <w:rPr>
                <w:rFonts w:ascii="Arial" w:hAnsi="Arial" w:eastAsia="Times New Roman" w:cs="Arial"/>
                <w:b/>
                <w:bCs/>
                <w:color w:val="FFFFFF"/>
                <w:sz w:val="22"/>
                <w:szCs w:val="22"/>
              </w:rPr>
              <w:t>SUSPENSION LEVEL</w:t>
            </w:r>
          </w:p>
        </w:tc>
      </w:tr>
      <w:tr w:rsidR="00E32633" w:rsidTr="0041380C" w14:paraId="599BE054" w14:textId="77777777">
        <w:trPr>
          <w:trHeight w:val="1046"/>
        </w:trPr>
        <w:tc>
          <w:tcPr>
            <w:tcW w:w="1622" w:type="dxa"/>
            <w:tcBorders>
              <w:top w:val="nil"/>
              <w:left w:val="single" w:color="auto" w:sz="8" w:space="0"/>
              <w:bottom w:val="single" w:color="auto" w:sz="8" w:space="0"/>
              <w:right w:val="single" w:color="auto" w:sz="8" w:space="0"/>
            </w:tcBorders>
            <w:tcMar>
              <w:top w:w="57" w:type="dxa"/>
              <w:left w:w="57" w:type="dxa"/>
              <w:bottom w:w="57" w:type="dxa"/>
              <w:right w:w="57" w:type="dxa"/>
            </w:tcMar>
            <w:vAlign w:val="bottom"/>
            <w:hideMark/>
          </w:tcPr>
          <w:p w:rsidR="00E32633" w:rsidRDefault="00E32633" w14:paraId="41E9BCBC" w14:textId="77777777">
            <w:pPr>
              <w:rPr>
                <w:rFonts w:ascii="Arial" w:hAnsi="Arial" w:eastAsia="Times New Roman" w:cs="Arial"/>
                <w:color w:val="231F20"/>
                <w:sz w:val="22"/>
                <w:szCs w:val="22"/>
              </w:rPr>
            </w:pPr>
            <w:r>
              <w:rPr>
                <w:rFonts w:ascii="Arial" w:hAnsi="Arial" w:eastAsia="Times New Roman" w:cs="Arial"/>
                <w:b/>
                <w:bCs/>
                <w:color w:val="231F20"/>
                <w:sz w:val="22"/>
                <w:szCs w:val="22"/>
              </w:rPr>
              <w:t>Category</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bottom"/>
            <w:hideMark/>
          </w:tcPr>
          <w:p w:rsidR="00E32633" w:rsidRDefault="00E32633" w14:paraId="3EFA6325" w14:textId="77777777">
            <w:pPr>
              <w:rPr>
                <w:rFonts w:ascii="Arial" w:hAnsi="Arial" w:eastAsia="Times New Roman" w:cs="Arial"/>
                <w:color w:val="231F20"/>
                <w:sz w:val="22"/>
                <w:szCs w:val="22"/>
              </w:rPr>
            </w:pPr>
            <w:r>
              <w:rPr>
                <w:rFonts w:ascii="Arial" w:hAnsi="Arial" w:eastAsia="Times New Roman" w:cs="Arial"/>
                <w:b/>
                <w:bCs/>
                <w:color w:val="231F20"/>
                <w:sz w:val="22"/>
                <w:szCs w:val="22"/>
              </w:rPr>
              <w:t>Current Action Level</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bottom"/>
            <w:hideMark/>
          </w:tcPr>
          <w:p w:rsidR="00E32633" w:rsidRDefault="00E32633" w14:paraId="26BA5D08" w14:textId="77777777">
            <w:pPr>
              <w:rPr>
                <w:rFonts w:ascii="Arial" w:hAnsi="Arial" w:eastAsia="Times New Roman" w:cs="Arial"/>
                <w:color w:val="231F20"/>
                <w:sz w:val="22"/>
                <w:szCs w:val="22"/>
              </w:rPr>
            </w:pPr>
            <w:r>
              <w:rPr>
                <w:rFonts w:ascii="Arial" w:hAnsi="Arial" w:eastAsia="Times New Roman" w:cs="Arial"/>
                <w:color w:val="231F20"/>
                <w:sz w:val="22"/>
                <w:szCs w:val="22"/>
              </w:rPr>
              <w:t>First incremental change</w:t>
            </w:r>
          </w:p>
          <w:p w:rsidR="00E32633" w:rsidRDefault="00E32633" w14:paraId="568FC689" w14:textId="77777777">
            <w:pPr>
              <w:rPr>
                <w:rFonts w:ascii="Arial" w:hAnsi="Arial" w:eastAsia="Times New Roman" w:cs="Arial"/>
                <w:color w:val="231F20"/>
                <w:sz w:val="22"/>
                <w:szCs w:val="22"/>
              </w:rPr>
            </w:pPr>
            <w:r>
              <w:rPr>
                <w:rFonts w:ascii="Arial" w:hAnsi="Arial" w:eastAsia="Times New Roman" w:cs="Arial"/>
                <w:color w:val="231F20"/>
                <w:sz w:val="22"/>
                <w:szCs w:val="22"/>
              </w:rPr>
              <w:t>1</w:t>
            </w:r>
            <w:r w:rsidRPr="008855A7">
              <w:rPr>
                <w:rFonts w:ascii="Arial" w:hAnsi="Arial" w:eastAsia="Times New Roman" w:cs="Arial"/>
                <w:color w:val="231F20"/>
                <w:sz w:val="22"/>
                <w:szCs w:val="22"/>
                <w:vertAlign w:val="superscript"/>
              </w:rPr>
              <w:t>st</w:t>
            </w:r>
            <w:r>
              <w:rPr>
                <w:rFonts w:ascii="Arial" w:hAnsi="Arial" w:eastAsia="Times New Roman" w:cs="Arial"/>
                <w:color w:val="231F20"/>
                <w:sz w:val="22"/>
                <w:szCs w:val="22"/>
              </w:rPr>
              <w:t> Oct 2027</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bottom"/>
            <w:hideMark/>
          </w:tcPr>
          <w:p w:rsidR="00E32633" w:rsidRDefault="00E32633" w14:paraId="64C04C4F" w14:textId="77777777">
            <w:pPr>
              <w:rPr>
                <w:rFonts w:ascii="Arial" w:hAnsi="Arial" w:eastAsia="Times New Roman" w:cs="Arial"/>
                <w:color w:val="231F20"/>
                <w:sz w:val="22"/>
                <w:szCs w:val="22"/>
              </w:rPr>
            </w:pPr>
            <w:r>
              <w:rPr>
                <w:rFonts w:ascii="Arial" w:hAnsi="Arial" w:eastAsia="Times New Roman" w:cs="Arial"/>
                <w:color w:val="231F20"/>
                <w:sz w:val="22"/>
                <w:szCs w:val="22"/>
              </w:rPr>
              <w:t>Second incremental change</w:t>
            </w:r>
          </w:p>
          <w:p w:rsidR="00E32633" w:rsidRDefault="00E32633" w14:paraId="403C6B09" w14:textId="77777777">
            <w:pPr>
              <w:rPr>
                <w:rFonts w:ascii="Arial" w:hAnsi="Arial" w:eastAsia="Times New Roman" w:cs="Arial"/>
                <w:color w:val="231F20"/>
                <w:sz w:val="22"/>
                <w:szCs w:val="22"/>
              </w:rPr>
            </w:pPr>
            <w:r>
              <w:rPr>
                <w:rFonts w:ascii="Arial" w:hAnsi="Arial" w:eastAsia="Times New Roman" w:cs="Arial"/>
                <w:color w:val="231F20"/>
                <w:sz w:val="22"/>
                <w:szCs w:val="22"/>
              </w:rPr>
              <w:t>1</w:t>
            </w:r>
            <w:r w:rsidRPr="008855A7">
              <w:rPr>
                <w:rFonts w:ascii="Arial" w:hAnsi="Arial" w:eastAsia="Times New Roman" w:cs="Arial"/>
                <w:color w:val="231F20"/>
                <w:sz w:val="22"/>
                <w:szCs w:val="22"/>
                <w:vertAlign w:val="superscript"/>
              </w:rPr>
              <w:t>st</w:t>
            </w:r>
            <w:r>
              <w:rPr>
                <w:rFonts w:ascii="Arial" w:hAnsi="Arial" w:eastAsia="Times New Roman" w:cs="Arial"/>
                <w:color w:val="231F20"/>
                <w:sz w:val="22"/>
                <w:szCs w:val="22"/>
              </w:rPr>
              <w:t> Oct 2029</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bottom"/>
            <w:hideMark/>
          </w:tcPr>
          <w:p w:rsidR="00E32633" w:rsidRDefault="00E32633" w14:paraId="68E3072B" w14:textId="77777777">
            <w:pPr>
              <w:rPr>
                <w:rFonts w:ascii="Arial" w:hAnsi="Arial" w:eastAsia="Times New Roman" w:cs="Arial"/>
                <w:color w:val="231F20"/>
                <w:sz w:val="22"/>
                <w:szCs w:val="22"/>
              </w:rPr>
            </w:pPr>
            <w:r>
              <w:rPr>
                <w:rFonts w:ascii="Arial" w:hAnsi="Arial" w:eastAsia="Times New Roman" w:cs="Arial"/>
                <w:b/>
                <w:bCs/>
                <w:color w:val="231F20"/>
                <w:sz w:val="22"/>
                <w:szCs w:val="22"/>
              </w:rPr>
              <w:t>Current Suspension Level</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bottom"/>
            <w:hideMark/>
          </w:tcPr>
          <w:p w:rsidR="00E32633" w:rsidRDefault="00E32633" w14:paraId="6896E0B9" w14:textId="77777777">
            <w:pPr>
              <w:rPr>
                <w:rFonts w:ascii="Arial" w:hAnsi="Arial" w:eastAsia="Times New Roman" w:cs="Arial"/>
                <w:color w:val="231F20"/>
                <w:sz w:val="22"/>
                <w:szCs w:val="22"/>
              </w:rPr>
            </w:pPr>
            <w:r>
              <w:rPr>
                <w:rFonts w:ascii="Arial" w:hAnsi="Arial" w:eastAsia="Times New Roman" w:cs="Arial"/>
                <w:color w:val="231F20"/>
                <w:sz w:val="22"/>
                <w:szCs w:val="22"/>
              </w:rPr>
              <w:t>First incremental change</w:t>
            </w:r>
          </w:p>
          <w:p w:rsidR="00E32633" w:rsidRDefault="00E32633" w14:paraId="7F380CD1" w14:textId="77777777">
            <w:pPr>
              <w:rPr>
                <w:rFonts w:ascii="Arial" w:hAnsi="Arial" w:eastAsia="Times New Roman" w:cs="Arial"/>
                <w:color w:val="231F20"/>
                <w:sz w:val="22"/>
                <w:szCs w:val="22"/>
              </w:rPr>
            </w:pPr>
            <w:r>
              <w:rPr>
                <w:rFonts w:ascii="Arial" w:hAnsi="Arial" w:eastAsia="Times New Roman" w:cs="Arial"/>
                <w:color w:val="231F20"/>
                <w:sz w:val="22"/>
                <w:szCs w:val="22"/>
              </w:rPr>
              <w:t>1</w:t>
            </w:r>
            <w:r w:rsidRPr="008855A7">
              <w:rPr>
                <w:rFonts w:ascii="Arial" w:hAnsi="Arial" w:eastAsia="Times New Roman" w:cs="Arial"/>
                <w:color w:val="231F20"/>
                <w:sz w:val="22"/>
                <w:szCs w:val="22"/>
                <w:vertAlign w:val="superscript"/>
              </w:rPr>
              <w:t>st</w:t>
            </w:r>
            <w:r>
              <w:rPr>
                <w:rFonts w:ascii="Arial" w:hAnsi="Arial" w:eastAsia="Times New Roman" w:cs="Arial"/>
                <w:color w:val="231F20"/>
                <w:sz w:val="22"/>
                <w:szCs w:val="22"/>
              </w:rPr>
              <w:t> Oct 2027</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bottom"/>
            <w:hideMark/>
          </w:tcPr>
          <w:p w:rsidR="00E32633" w:rsidRDefault="00E32633" w14:paraId="2450B88C" w14:textId="77777777">
            <w:pPr>
              <w:rPr>
                <w:rFonts w:ascii="Arial" w:hAnsi="Arial" w:eastAsia="Times New Roman" w:cs="Arial"/>
                <w:color w:val="231F20"/>
                <w:sz w:val="22"/>
                <w:szCs w:val="22"/>
              </w:rPr>
            </w:pPr>
            <w:r>
              <w:rPr>
                <w:rFonts w:ascii="Arial" w:hAnsi="Arial" w:eastAsia="Times New Roman" w:cs="Arial"/>
                <w:color w:val="231F20"/>
                <w:sz w:val="22"/>
                <w:szCs w:val="22"/>
              </w:rPr>
              <w:t>Second incremental change</w:t>
            </w:r>
          </w:p>
          <w:p w:rsidR="00E32633" w:rsidRDefault="00E32633" w14:paraId="47C487D5" w14:textId="77777777">
            <w:pPr>
              <w:rPr>
                <w:rFonts w:ascii="Arial" w:hAnsi="Arial" w:eastAsia="Times New Roman" w:cs="Arial"/>
                <w:color w:val="231F20"/>
                <w:sz w:val="22"/>
                <w:szCs w:val="22"/>
              </w:rPr>
            </w:pPr>
            <w:r>
              <w:rPr>
                <w:rFonts w:ascii="Arial" w:hAnsi="Arial" w:eastAsia="Times New Roman" w:cs="Arial"/>
                <w:color w:val="231F20"/>
                <w:sz w:val="22"/>
                <w:szCs w:val="22"/>
              </w:rPr>
              <w:t>1</w:t>
            </w:r>
            <w:r w:rsidRPr="008855A7">
              <w:rPr>
                <w:rFonts w:ascii="Arial" w:hAnsi="Arial" w:eastAsia="Times New Roman" w:cs="Arial"/>
                <w:color w:val="231F20"/>
                <w:sz w:val="22"/>
                <w:szCs w:val="22"/>
                <w:vertAlign w:val="superscript"/>
              </w:rPr>
              <w:t>st</w:t>
            </w:r>
            <w:r>
              <w:rPr>
                <w:rFonts w:ascii="Arial" w:hAnsi="Arial" w:eastAsia="Times New Roman" w:cs="Arial"/>
                <w:color w:val="231F20"/>
                <w:sz w:val="22"/>
                <w:szCs w:val="22"/>
              </w:rPr>
              <w:t> Oct 2029</w:t>
            </w:r>
          </w:p>
        </w:tc>
      </w:tr>
      <w:tr w:rsidR="00E32633" w:rsidTr="0041380C" w14:paraId="507B6011" w14:textId="77777777">
        <w:trPr>
          <w:trHeight w:val="794"/>
        </w:trPr>
        <w:tc>
          <w:tcPr>
            <w:tcW w:w="1622" w:type="dxa"/>
            <w:tcBorders>
              <w:top w:val="nil"/>
              <w:left w:val="single" w:color="auto" w:sz="8" w:space="0"/>
              <w:bottom w:val="single" w:color="auto" w:sz="8" w:space="0"/>
              <w:right w:val="single" w:color="auto" w:sz="8" w:space="0"/>
            </w:tcBorders>
            <w:tcMar>
              <w:top w:w="57" w:type="dxa"/>
              <w:left w:w="57" w:type="dxa"/>
              <w:bottom w:w="57" w:type="dxa"/>
              <w:right w:w="57" w:type="dxa"/>
            </w:tcMar>
            <w:vAlign w:val="center"/>
            <w:hideMark/>
          </w:tcPr>
          <w:p w:rsidR="00E32633" w:rsidRDefault="00E32633" w14:paraId="4BF9CA36" w14:textId="77777777">
            <w:pPr>
              <w:rPr>
                <w:rFonts w:ascii="Arial" w:hAnsi="Arial" w:eastAsia="Times New Roman" w:cs="Arial"/>
                <w:color w:val="231F20"/>
                <w:sz w:val="22"/>
                <w:szCs w:val="22"/>
              </w:rPr>
            </w:pPr>
            <w:r>
              <w:rPr>
                <w:rFonts w:ascii="Arial" w:hAnsi="Arial" w:eastAsia="Times New Roman" w:cs="Arial"/>
                <w:b/>
                <w:bCs/>
                <w:color w:val="231F20"/>
                <w:sz w:val="22"/>
                <w:szCs w:val="22"/>
              </w:rPr>
              <w:t>General Employees</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48CF4F56"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50</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5423684A"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20</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6D64B4C0"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10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4B7709BC"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60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30BD3F00"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30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6726A456"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15</w:t>
            </w:r>
          </w:p>
        </w:tc>
      </w:tr>
      <w:tr w:rsidR="00E32633" w:rsidTr="0041380C" w14:paraId="5BE5E211" w14:textId="77777777">
        <w:trPr>
          <w:trHeight w:val="794"/>
        </w:trPr>
        <w:tc>
          <w:tcPr>
            <w:tcW w:w="1622" w:type="dxa"/>
            <w:tcBorders>
              <w:top w:val="nil"/>
              <w:left w:val="single" w:color="auto" w:sz="8" w:space="0"/>
              <w:bottom w:val="single" w:color="auto" w:sz="8" w:space="0"/>
              <w:right w:val="single" w:color="auto" w:sz="8" w:space="0"/>
            </w:tcBorders>
            <w:tcMar>
              <w:top w:w="57" w:type="dxa"/>
              <w:left w:w="57" w:type="dxa"/>
              <w:bottom w:w="57" w:type="dxa"/>
              <w:right w:w="57" w:type="dxa"/>
            </w:tcMar>
            <w:vAlign w:val="center"/>
            <w:hideMark/>
          </w:tcPr>
          <w:p w:rsidR="00E32633" w:rsidRDefault="00E32633" w14:paraId="28214A70" w14:textId="4E0C0117">
            <w:pPr>
              <w:rPr>
                <w:rFonts w:ascii="Arial" w:hAnsi="Arial" w:eastAsia="Times New Roman" w:cs="Arial"/>
                <w:color w:val="231F20"/>
                <w:sz w:val="22"/>
                <w:szCs w:val="22"/>
              </w:rPr>
            </w:pPr>
            <w:r>
              <w:rPr>
                <w:rFonts w:ascii="Arial" w:hAnsi="Arial" w:eastAsia="Times New Roman" w:cs="Arial"/>
                <w:b/>
                <w:bCs/>
                <w:color w:val="231F20"/>
                <w:sz w:val="22"/>
                <w:szCs w:val="22"/>
              </w:rPr>
              <w:t>Women of reproductive capacity </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2031717F"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25</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23DBE191"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5</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Pr="0041380C" w:rsidR="00E32633" w:rsidRDefault="00E32633" w14:paraId="456935A4" w14:textId="77777777">
            <w:pPr>
              <w:jc w:val="center"/>
              <w:rPr>
                <w:rFonts w:ascii="Arial" w:hAnsi="Arial" w:eastAsia="Times New Roman" w:cs="Arial"/>
                <w:color w:val="231F20"/>
                <w:sz w:val="22"/>
                <w:szCs w:val="22"/>
              </w:rPr>
            </w:pPr>
            <w:r w:rsidRPr="0041380C">
              <w:rPr>
                <w:rFonts w:ascii="Arial" w:hAnsi="Arial" w:eastAsia="Times New Roman" w:cs="Arial"/>
                <w:color w:val="231F20"/>
                <w:sz w:val="22"/>
                <w:szCs w:val="22"/>
              </w:rPr>
              <w:t>n/a</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703BB6BB"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30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3DDE2230"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7.5</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Pr="0041380C" w:rsidR="00E32633" w:rsidRDefault="00E32633" w14:paraId="0DD267D4" w14:textId="77777777">
            <w:pPr>
              <w:jc w:val="center"/>
              <w:rPr>
                <w:rFonts w:ascii="Arial" w:hAnsi="Arial" w:eastAsia="Times New Roman" w:cs="Arial"/>
                <w:color w:val="231F20"/>
                <w:sz w:val="22"/>
                <w:szCs w:val="22"/>
              </w:rPr>
            </w:pPr>
            <w:r w:rsidRPr="0041380C">
              <w:rPr>
                <w:rFonts w:ascii="Arial" w:hAnsi="Arial" w:eastAsia="Times New Roman" w:cs="Arial"/>
                <w:color w:val="231F20"/>
                <w:sz w:val="22"/>
                <w:szCs w:val="22"/>
              </w:rPr>
              <w:t>n/a</w:t>
            </w:r>
          </w:p>
        </w:tc>
      </w:tr>
      <w:tr w:rsidR="00E32633" w:rsidTr="0041380C" w14:paraId="3B7A2F83" w14:textId="77777777">
        <w:trPr>
          <w:trHeight w:val="794"/>
        </w:trPr>
        <w:tc>
          <w:tcPr>
            <w:tcW w:w="1622" w:type="dxa"/>
            <w:tcBorders>
              <w:top w:val="nil"/>
              <w:left w:val="single" w:color="auto" w:sz="8" w:space="0"/>
              <w:bottom w:val="single" w:color="auto" w:sz="8" w:space="0"/>
              <w:right w:val="single" w:color="auto" w:sz="8" w:space="0"/>
            </w:tcBorders>
            <w:tcMar>
              <w:top w:w="57" w:type="dxa"/>
              <w:left w:w="57" w:type="dxa"/>
              <w:bottom w:w="57" w:type="dxa"/>
              <w:right w:w="57" w:type="dxa"/>
            </w:tcMar>
            <w:vAlign w:val="center"/>
            <w:hideMark/>
          </w:tcPr>
          <w:p w:rsidR="00E32633" w:rsidRDefault="00E32633" w14:paraId="1D1E8CE8" w14:textId="77777777">
            <w:pPr>
              <w:rPr>
                <w:rFonts w:ascii="Arial" w:hAnsi="Arial" w:eastAsia="Times New Roman" w:cs="Arial"/>
                <w:color w:val="231F20"/>
                <w:sz w:val="22"/>
                <w:szCs w:val="22"/>
              </w:rPr>
            </w:pPr>
            <w:r>
              <w:rPr>
                <w:rFonts w:ascii="Arial" w:hAnsi="Arial" w:eastAsia="Times New Roman" w:cs="Arial"/>
                <w:b/>
                <w:bCs/>
                <w:color w:val="231F20"/>
                <w:sz w:val="22"/>
                <w:szCs w:val="22"/>
              </w:rPr>
              <w:t>Young Person</w:t>
            </w:r>
            <w:r>
              <w:rPr>
                <w:rFonts w:ascii="Arial" w:hAnsi="Arial" w:eastAsia="Times New Roman" w:cs="Arial"/>
                <w:b/>
                <w:bCs/>
                <w:color w:val="231F20"/>
                <w:sz w:val="22"/>
                <w:szCs w:val="22"/>
              </w:rPr>
              <w:br/>
            </w:r>
            <w:r>
              <w:rPr>
                <w:rFonts w:ascii="Arial" w:hAnsi="Arial" w:eastAsia="Times New Roman" w:cs="Arial"/>
                <w:b/>
                <w:bCs/>
                <w:color w:val="231F20"/>
                <w:sz w:val="22"/>
                <w:szCs w:val="22"/>
              </w:rPr>
              <w:t>(16-17 years)</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381054E2"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40</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65952935"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20</w:t>
            </w:r>
          </w:p>
        </w:tc>
        <w:tc>
          <w:tcPr>
            <w:tcW w:w="1457" w:type="dxa"/>
            <w:tcBorders>
              <w:top w:val="nil"/>
              <w:left w:val="nil"/>
              <w:bottom w:val="single" w:color="auto" w:sz="8" w:space="0"/>
              <w:right w:val="single" w:color="auto" w:sz="8" w:space="0"/>
            </w:tcBorders>
            <w:shd w:val="clear" w:color="auto" w:fill="FBE4D5"/>
            <w:tcMar>
              <w:top w:w="57" w:type="dxa"/>
              <w:left w:w="57" w:type="dxa"/>
              <w:bottom w:w="57" w:type="dxa"/>
              <w:right w:w="57" w:type="dxa"/>
            </w:tcMar>
            <w:vAlign w:val="center"/>
            <w:hideMark/>
          </w:tcPr>
          <w:p w:rsidR="00E32633" w:rsidRDefault="00E32633" w14:paraId="265ABE8E"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10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024D216F"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50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64085C9D"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30</w:t>
            </w:r>
          </w:p>
        </w:tc>
        <w:tc>
          <w:tcPr>
            <w:tcW w:w="1457" w:type="dxa"/>
            <w:tcBorders>
              <w:top w:val="nil"/>
              <w:left w:val="nil"/>
              <w:bottom w:val="single" w:color="auto" w:sz="8" w:space="0"/>
              <w:right w:val="single" w:color="auto" w:sz="8" w:space="0"/>
            </w:tcBorders>
            <w:shd w:val="clear" w:color="auto" w:fill="FFC1C1"/>
            <w:tcMar>
              <w:top w:w="57" w:type="dxa"/>
              <w:left w:w="57" w:type="dxa"/>
              <w:bottom w:w="57" w:type="dxa"/>
              <w:right w:w="57" w:type="dxa"/>
            </w:tcMar>
            <w:vAlign w:val="center"/>
            <w:hideMark/>
          </w:tcPr>
          <w:p w:rsidR="00E32633" w:rsidRDefault="00E32633" w14:paraId="2FD5E335" w14:textId="77777777">
            <w:pPr>
              <w:jc w:val="center"/>
              <w:rPr>
                <w:rFonts w:ascii="Arial" w:hAnsi="Arial" w:eastAsia="Times New Roman" w:cs="Arial"/>
                <w:color w:val="231F20"/>
                <w:sz w:val="22"/>
                <w:szCs w:val="22"/>
              </w:rPr>
            </w:pPr>
            <w:r>
              <w:rPr>
                <w:rFonts w:ascii="Arial" w:hAnsi="Arial" w:eastAsia="Times New Roman" w:cs="Arial"/>
                <w:color w:val="231F20"/>
                <w:sz w:val="22"/>
                <w:szCs w:val="22"/>
              </w:rPr>
              <w:t>15</w:t>
            </w:r>
          </w:p>
        </w:tc>
      </w:tr>
    </w:tbl>
    <w:p w:rsidR="00E32633" w:rsidP="00E32633" w:rsidRDefault="00E32633" w14:paraId="597D8476" w14:textId="77777777">
      <w:pPr>
        <w:rPr>
          <w:rFonts w:ascii="Arial" w:hAnsi="Arial" w:eastAsia="Times New Roman" w:cs="Arial"/>
          <w:color w:val="231F20"/>
        </w:rPr>
      </w:pPr>
    </w:p>
    <w:p w:rsidR="00AF4D88" w:rsidP="00AF4D88" w:rsidRDefault="00AF4D88" w14:paraId="6166471B" w14:textId="77777777">
      <w:pPr>
        <w:rPr>
          <w:lang w:val="en-US"/>
        </w:rPr>
      </w:pPr>
    </w:p>
    <w:p w:rsidRPr="000E67EC" w:rsidR="00AF4D88" w:rsidP="0041380C" w:rsidRDefault="00AF4D88" w14:paraId="2BC2C6E7" w14:textId="01989519">
      <w:pPr>
        <w:spacing w:line="276" w:lineRule="auto"/>
        <w:jc w:val="both"/>
        <w:rPr>
          <w:lang w:val="en-US"/>
        </w:rPr>
      </w:pPr>
      <w:r>
        <w:rPr>
          <w:lang w:val="en-US"/>
        </w:rPr>
        <w:t xml:space="preserve">Whilst </w:t>
      </w:r>
      <w:r w:rsidR="00F9698D">
        <w:rPr>
          <w:lang w:val="en-US"/>
        </w:rPr>
        <w:t>we</w:t>
      </w:r>
      <w:r>
        <w:rPr>
          <w:lang w:val="en-US"/>
        </w:rPr>
        <w:t xml:space="preserve"> fully support the desire to improve occupational health by reducing lead exposure wherever reasonably practicable, the benefits in health of a lower blood-lead level threshold must be in proportion to the </w:t>
      </w:r>
      <w:r w:rsidR="00E32633">
        <w:rPr>
          <w:lang w:val="en-US"/>
        </w:rPr>
        <w:t>ramifications</w:t>
      </w:r>
      <w:r w:rsidR="0041380C">
        <w:rPr>
          <w:lang w:val="en-US"/>
        </w:rPr>
        <w:t xml:space="preserve"> of such measures</w:t>
      </w:r>
      <w:r>
        <w:rPr>
          <w:lang w:val="en-US"/>
        </w:rPr>
        <w:t xml:space="preserve">. Unfortunately, the </w:t>
      </w:r>
      <w:r w:rsidR="00E32633">
        <w:rPr>
          <w:lang w:val="en-US"/>
        </w:rPr>
        <w:t>impact</w:t>
      </w:r>
      <w:r>
        <w:rPr>
          <w:lang w:val="en-US"/>
        </w:rPr>
        <w:t xml:space="preserve"> of the proposed changes, both tangible and intangible, appears to greatly outweigh the benefits. </w:t>
      </w:r>
      <w:r w:rsidR="00E32633">
        <w:rPr>
          <w:lang w:val="en-US"/>
        </w:rPr>
        <w:t xml:space="preserve">Despite </w:t>
      </w:r>
      <w:r w:rsidR="000E67EC">
        <w:rPr>
          <w:lang w:val="en-US"/>
        </w:rPr>
        <w:t>strict mitigation strategies and the extensive use of personal protective equipment (PPE)</w:t>
      </w:r>
      <w:r w:rsidRPr="00E32633" w:rsidR="00E32633">
        <w:rPr>
          <w:lang w:val="en-US"/>
        </w:rPr>
        <w:t>, these</w:t>
      </w:r>
      <w:r>
        <w:rPr>
          <w:lang w:val="en-US"/>
        </w:rPr>
        <w:t xml:space="preserve"> lower thresholds will be very difficult to consistently </w:t>
      </w:r>
      <w:r w:rsidR="000E67EC">
        <w:rPr>
          <w:lang w:val="en-US"/>
        </w:rPr>
        <w:t>achieve and</w:t>
      </w:r>
      <w:r>
        <w:rPr>
          <w:lang w:val="en-US"/>
        </w:rPr>
        <w:t xml:space="preserve"> </w:t>
      </w:r>
      <w:r w:rsidR="000E67EC">
        <w:rPr>
          <w:lang w:val="en-US"/>
        </w:rPr>
        <w:t xml:space="preserve">may result </w:t>
      </w:r>
      <w:r>
        <w:rPr>
          <w:lang w:val="en-US"/>
        </w:rPr>
        <w:t xml:space="preserve">in numerous unforeseen negative consequences. </w:t>
      </w:r>
    </w:p>
    <w:p w:rsidR="00AF4D88" w:rsidP="0041380C" w:rsidRDefault="00AF4D88" w14:paraId="6A555B91" w14:textId="77777777">
      <w:pPr>
        <w:spacing w:line="276" w:lineRule="auto"/>
        <w:jc w:val="both"/>
        <w:rPr>
          <w:lang w:val="en-US"/>
        </w:rPr>
      </w:pPr>
    </w:p>
    <w:p w:rsidR="00AF4D88" w:rsidP="0041380C" w:rsidRDefault="00AF4D88" w14:paraId="67A6A6BC" w14:textId="17243E33">
      <w:pPr>
        <w:spacing w:line="276" w:lineRule="auto"/>
        <w:jc w:val="both"/>
        <w:rPr>
          <w:lang w:val="en-US"/>
        </w:rPr>
      </w:pPr>
      <w:r>
        <w:rPr>
          <w:lang w:val="en-US"/>
        </w:rPr>
        <w:t xml:space="preserve">The impact of the proposed changes would prove particularly catastrophic </w:t>
      </w:r>
      <w:r w:rsidR="000E67EC">
        <w:rPr>
          <w:lang w:val="en-US"/>
        </w:rPr>
        <w:t>with</w:t>
      </w:r>
      <w:r>
        <w:rPr>
          <w:lang w:val="en-US"/>
        </w:rPr>
        <w:t>in the heritage / conservation-restoration sector</w:t>
      </w:r>
      <w:r w:rsidR="006D26B3">
        <w:rPr>
          <w:lang w:val="en-US"/>
        </w:rPr>
        <w:t>,</w:t>
      </w:r>
      <w:r>
        <w:rPr>
          <w:lang w:val="en-US"/>
        </w:rPr>
        <w:t xml:space="preserve"> where complex </w:t>
      </w:r>
      <w:r w:rsidR="000E67EC">
        <w:rPr>
          <w:lang w:val="en-US"/>
        </w:rPr>
        <w:t xml:space="preserve">building </w:t>
      </w:r>
      <w:r>
        <w:rPr>
          <w:lang w:val="en-US"/>
        </w:rPr>
        <w:t xml:space="preserve">environments often limit </w:t>
      </w:r>
      <w:r w:rsidR="000E67EC">
        <w:rPr>
          <w:lang w:val="en-US"/>
        </w:rPr>
        <w:t>our</w:t>
      </w:r>
      <w:r>
        <w:rPr>
          <w:lang w:val="en-US"/>
        </w:rPr>
        <w:t xml:space="preserve"> ability to implement control measures as s</w:t>
      </w:r>
      <w:r w:rsidR="000E67EC">
        <w:rPr>
          <w:lang w:val="en-US"/>
        </w:rPr>
        <w:t>tringently</w:t>
      </w:r>
      <w:r>
        <w:rPr>
          <w:lang w:val="en-US"/>
        </w:rPr>
        <w:t xml:space="preserve"> as </w:t>
      </w:r>
      <w:r w:rsidR="000E67EC">
        <w:rPr>
          <w:lang w:val="en-US"/>
        </w:rPr>
        <w:t xml:space="preserve">in </w:t>
      </w:r>
      <w:r>
        <w:rPr>
          <w:lang w:val="en-US"/>
        </w:rPr>
        <w:t xml:space="preserve">more industrial type settings. In disciplines such as historic metal sculpture or stained-glass conservation, lead-based materials are intrinsic to the objects and buildings being preserved, and viable alternatives to lead simply do not exist. Even with </w:t>
      </w:r>
      <w:r>
        <w:rPr>
          <w:lang w:val="en-US"/>
        </w:rPr>
        <w:t>robust controls and best practice mitigation in place, the proposed lower thresholds appear unattainable in real world conservation practice.</w:t>
      </w:r>
    </w:p>
    <w:p w:rsidR="00AF4D88" w:rsidP="0041380C" w:rsidRDefault="00AF4D88" w14:paraId="7F576B0F" w14:textId="77777777">
      <w:pPr>
        <w:spacing w:line="276" w:lineRule="auto"/>
        <w:jc w:val="both"/>
        <w:rPr>
          <w:lang w:val="en-US"/>
        </w:rPr>
      </w:pPr>
    </w:p>
    <w:p w:rsidR="00AF4D88" w:rsidP="0041380C" w:rsidRDefault="00AF4D88" w14:paraId="57B32CD0" w14:textId="7311C611">
      <w:pPr>
        <w:spacing w:line="276" w:lineRule="auto"/>
        <w:jc w:val="both"/>
        <w:rPr>
          <w:lang w:val="en-US"/>
        </w:rPr>
      </w:pPr>
      <w:r>
        <w:rPr>
          <w:lang w:val="en-US"/>
        </w:rPr>
        <w:t xml:space="preserve">Many of these highly skilled, yet increasingly rare, disciplines are already on the brink of collapse. My own specialism, the fabrication </w:t>
      </w:r>
      <w:r w:rsidR="008855A7">
        <w:rPr>
          <w:lang w:val="en-US"/>
        </w:rPr>
        <w:t>and</w:t>
      </w:r>
      <w:r>
        <w:rPr>
          <w:lang w:val="en-US"/>
        </w:rPr>
        <w:t xml:space="preserve"> conservation of monumental stained glass, is already classed as 'endangered' by the Heritage Crafts Association and included in its annual Red List of Endangered Crafts. This is due to serious concerns that it may not survive </w:t>
      </w:r>
      <w:proofErr w:type="gramStart"/>
      <w:r>
        <w:rPr>
          <w:lang w:val="en-US"/>
        </w:rPr>
        <w:t>to</w:t>
      </w:r>
      <w:proofErr w:type="gramEnd"/>
      <w:r>
        <w:rPr>
          <w:lang w:val="en-US"/>
        </w:rPr>
        <w:t xml:space="preserve"> the next generation. Implementation of the HSEs new, unattainably low blood-lead </w:t>
      </w:r>
      <w:r w:rsidR="00DF61F4">
        <w:rPr>
          <w:lang w:val="en-US"/>
        </w:rPr>
        <w:t>suspension thresholds</w:t>
      </w:r>
      <w:r>
        <w:rPr>
          <w:lang w:val="en-US"/>
        </w:rPr>
        <w:t xml:space="preserve"> in 2027/2029 </w:t>
      </w:r>
      <w:r w:rsidR="000E67EC">
        <w:rPr>
          <w:lang w:val="en-US"/>
        </w:rPr>
        <w:t>c</w:t>
      </w:r>
      <w:r>
        <w:rPr>
          <w:lang w:val="en-US"/>
        </w:rPr>
        <w:t>ould quite p</w:t>
      </w:r>
      <w:r w:rsidR="000E67EC">
        <w:rPr>
          <w:lang w:val="en-US"/>
        </w:rPr>
        <w:t>ossibly</w:t>
      </w:r>
      <w:r>
        <w:rPr>
          <w:lang w:val="en-US"/>
        </w:rPr>
        <w:t xml:space="preserve"> mark the end of this 1000-year-old craft within the UK. Many of the few existing practitioners of the craft </w:t>
      </w:r>
      <w:r w:rsidR="000E67EC">
        <w:rPr>
          <w:lang w:val="en-US"/>
        </w:rPr>
        <w:t>have already</w:t>
      </w:r>
      <w:r w:rsidR="008855A7">
        <w:rPr>
          <w:lang w:val="en-US"/>
        </w:rPr>
        <w:t xml:space="preserve"> expressed concerns</w:t>
      </w:r>
      <w:r w:rsidR="000E67EC">
        <w:rPr>
          <w:lang w:val="en-US"/>
        </w:rPr>
        <w:t xml:space="preserve"> that they will</w:t>
      </w:r>
      <w:r>
        <w:rPr>
          <w:lang w:val="en-US"/>
        </w:rPr>
        <w:t xml:space="preserve"> struggle to comply with the proposed lower blood-lead </w:t>
      </w:r>
      <w:r w:rsidR="0062760E">
        <w:rPr>
          <w:lang w:val="en-US"/>
        </w:rPr>
        <w:t>levels and</w:t>
      </w:r>
      <w:r>
        <w:rPr>
          <w:lang w:val="en-US"/>
        </w:rPr>
        <w:t xml:space="preserve"> w</w:t>
      </w:r>
      <w:r w:rsidR="000E67EC">
        <w:rPr>
          <w:lang w:val="en-US"/>
        </w:rPr>
        <w:t>ill</w:t>
      </w:r>
      <w:r>
        <w:rPr>
          <w:lang w:val="en-US"/>
        </w:rPr>
        <w:t xml:space="preserve"> therefore be forced to stop practicing or passing on their specialist skills.</w:t>
      </w:r>
    </w:p>
    <w:p w:rsidR="00AF4D88" w:rsidP="0041380C" w:rsidRDefault="00AF4D88" w14:paraId="0FCB05E7" w14:textId="77777777">
      <w:pPr>
        <w:spacing w:line="276" w:lineRule="auto"/>
        <w:jc w:val="both"/>
        <w:rPr>
          <w:lang w:val="en-US"/>
        </w:rPr>
      </w:pPr>
    </w:p>
    <w:p w:rsidR="00AF4D88" w:rsidP="0041380C" w:rsidRDefault="0062760E" w14:paraId="039B8330" w14:textId="3BAF1A0D">
      <w:pPr>
        <w:spacing w:line="276" w:lineRule="auto"/>
        <w:jc w:val="both"/>
        <w:rPr>
          <w:lang w:val="en-US"/>
        </w:rPr>
      </w:pPr>
      <w:r w:rsidRPr="0062760E">
        <w:rPr>
          <w:lang w:val="en-US"/>
        </w:rPr>
        <w:t xml:space="preserve">From the perspective of the wider public, the most obvious impact from this will be the disastrous effect that </w:t>
      </w:r>
      <w:r w:rsidR="00DF61F4">
        <w:rPr>
          <w:lang w:val="en-US"/>
        </w:rPr>
        <w:t xml:space="preserve">it </w:t>
      </w:r>
      <w:r w:rsidRPr="0062760E">
        <w:rPr>
          <w:lang w:val="en-US"/>
        </w:rPr>
        <w:t>will have on our historic built environment</w:t>
      </w:r>
      <w:proofErr w:type="gramStart"/>
      <w:r w:rsidRPr="0062760E">
        <w:rPr>
          <w:lang w:val="en-US"/>
        </w:rPr>
        <w:t>, and in particular</w:t>
      </w:r>
      <w:proofErr w:type="gramEnd"/>
      <w:r w:rsidRPr="0062760E">
        <w:rPr>
          <w:lang w:val="en-US"/>
        </w:rPr>
        <w:t xml:space="preserve"> the impact on our ecclesiastical heritage. </w:t>
      </w:r>
      <w:r w:rsidRPr="00E23C7A" w:rsidR="00E23C7A">
        <w:rPr>
          <w:lang w:val="en-US"/>
        </w:rPr>
        <w:t xml:space="preserve">Within the UK there are over 12,000 churches which are listed as having special architectural or historic interest. </w:t>
      </w:r>
      <w:r w:rsidRPr="0062760E">
        <w:rPr>
          <w:lang w:val="en-US"/>
        </w:rPr>
        <w:t xml:space="preserve">Beyond </w:t>
      </w:r>
      <w:r w:rsidR="00CB7E8A">
        <w:rPr>
          <w:lang w:val="en-US"/>
        </w:rPr>
        <w:t xml:space="preserve">our </w:t>
      </w:r>
      <w:r w:rsidR="00E04CF2">
        <w:rPr>
          <w:lang w:val="en-US"/>
        </w:rPr>
        <w:t xml:space="preserve">region’s </w:t>
      </w:r>
      <w:r w:rsidRPr="0062760E">
        <w:rPr>
          <w:lang w:val="en-US"/>
        </w:rPr>
        <w:t xml:space="preserve">most prestigious historic building, </w:t>
      </w:r>
      <w:r w:rsidR="006E2D86">
        <w:rPr>
          <w:lang w:val="en-US"/>
        </w:rPr>
        <w:t>[</w:t>
      </w:r>
      <w:r w:rsidRPr="006E2D86" w:rsidR="006E2D86">
        <w:rPr>
          <w:color w:val="EE0000"/>
          <w:lang w:val="en-US"/>
        </w:rPr>
        <w:t>building/church name</w:t>
      </w:r>
      <w:r w:rsidR="006E2D86">
        <w:rPr>
          <w:lang w:val="en-US"/>
        </w:rPr>
        <w:t>]</w:t>
      </w:r>
      <w:r w:rsidRPr="0062760E">
        <w:rPr>
          <w:lang w:val="en-US"/>
        </w:rPr>
        <w:t xml:space="preserve">, there are over </w:t>
      </w:r>
      <w:r w:rsidR="006E2D86">
        <w:rPr>
          <w:lang w:val="en-US"/>
        </w:rPr>
        <w:t>[</w:t>
      </w:r>
      <w:r w:rsidRPr="006E2D86" w:rsidR="006E2D86">
        <w:rPr>
          <w:color w:val="EE0000"/>
          <w:lang w:val="en-US"/>
        </w:rPr>
        <w:t>number of churches</w:t>
      </w:r>
      <w:r w:rsidR="006E2D86">
        <w:rPr>
          <w:lang w:val="en-US"/>
        </w:rPr>
        <w:t>]</w:t>
      </w:r>
      <w:r w:rsidRPr="0062760E">
        <w:rPr>
          <w:lang w:val="en-US"/>
        </w:rPr>
        <w:t xml:space="preserve"> churches within </w:t>
      </w:r>
      <w:r w:rsidRPr="00E04CF2" w:rsidR="00E04CF2">
        <w:rPr>
          <w:lang w:val="en-US"/>
        </w:rPr>
        <w:t>[</w:t>
      </w:r>
      <w:r w:rsidRPr="00E04CF2" w:rsidR="00E04CF2">
        <w:rPr>
          <w:color w:val="EE0000"/>
          <w:lang w:val="en-US"/>
        </w:rPr>
        <w:t>county/region</w:t>
      </w:r>
      <w:r w:rsidRPr="00E04CF2" w:rsidR="00E04CF2">
        <w:rPr>
          <w:lang w:val="en-US"/>
        </w:rPr>
        <w:t xml:space="preserve">] </w:t>
      </w:r>
      <w:r w:rsidR="00F871FA">
        <w:rPr>
          <w:lang w:val="en-US"/>
        </w:rPr>
        <w:t>alone</w:t>
      </w:r>
      <w:r w:rsidR="00DE1A7C">
        <w:rPr>
          <w:lang w:val="en-US"/>
        </w:rPr>
        <w:t>.</w:t>
      </w:r>
      <w:r w:rsidRPr="0062760E">
        <w:rPr>
          <w:lang w:val="en-US"/>
        </w:rPr>
        <w:t xml:space="preserve"> </w:t>
      </w:r>
      <w:r w:rsidRPr="00DE1A7C" w:rsidR="00DE1A7C">
        <w:rPr>
          <w:lang w:val="en-US"/>
        </w:rPr>
        <w:t xml:space="preserve">Many of these buildings </w:t>
      </w:r>
      <w:r w:rsidRPr="0062760E">
        <w:rPr>
          <w:lang w:val="en-US"/>
        </w:rPr>
        <w:t xml:space="preserve">contain exquisite </w:t>
      </w:r>
      <w:r w:rsidR="00DF61F4">
        <w:rPr>
          <w:lang w:val="en-US"/>
        </w:rPr>
        <w:t xml:space="preserve">leaded </w:t>
      </w:r>
      <w:r w:rsidRPr="0062760E">
        <w:rPr>
          <w:lang w:val="en-US"/>
        </w:rPr>
        <w:t xml:space="preserve">stained glass, lead sculpture, roofs and rainwater goods. </w:t>
      </w:r>
      <w:r w:rsidRPr="000F6E85" w:rsidR="000F6E85">
        <w:rPr>
          <w:lang w:val="en-US"/>
        </w:rPr>
        <w:t xml:space="preserve">If these proposals go ahead, </w:t>
      </w:r>
      <w:r w:rsidR="000F6E85">
        <w:rPr>
          <w:lang w:val="en-US"/>
        </w:rPr>
        <w:t>t</w:t>
      </w:r>
      <w:r w:rsidRPr="0062760E">
        <w:rPr>
          <w:lang w:val="en-US"/>
        </w:rPr>
        <w:t xml:space="preserve">he full extent of the deleterious impact to the nation’s heritage is difficult to comprehend. Without stained glass practitioners or suppliers of appropriate lead-based materials, many of these windows would fail within a few decades. This would apply to every single stained-glass window within every single church in the country. As historic stained-glass windows cannot simply be replaced with modern materials due to listed building legislation, it is not too much </w:t>
      </w:r>
      <w:r w:rsidR="008855A7">
        <w:rPr>
          <w:lang w:val="en-US"/>
        </w:rPr>
        <w:t xml:space="preserve">of </w:t>
      </w:r>
      <w:r w:rsidRPr="0062760E">
        <w:rPr>
          <w:lang w:val="en-US"/>
        </w:rPr>
        <w:t xml:space="preserve">a stretch of the imagination that many of our churches would be forced to close due to the risks associated with unstable leaded windows or leaking roofs which cannot be fixed. This is just one example of unintended consequences within the heritage field - there are many </w:t>
      </w:r>
      <w:proofErr w:type="spellStart"/>
      <w:r w:rsidRPr="0062760E">
        <w:rPr>
          <w:lang w:val="en-US"/>
        </w:rPr>
        <w:t>many</w:t>
      </w:r>
      <w:proofErr w:type="spellEnd"/>
      <w:r w:rsidRPr="0062760E">
        <w:rPr>
          <w:lang w:val="en-US"/>
        </w:rPr>
        <w:t xml:space="preserve"> more.</w:t>
      </w:r>
    </w:p>
    <w:p w:rsidR="0062760E" w:rsidP="0041380C" w:rsidRDefault="0062760E" w14:paraId="1051938A" w14:textId="77777777">
      <w:pPr>
        <w:spacing w:line="276" w:lineRule="auto"/>
        <w:jc w:val="both"/>
        <w:rPr>
          <w:lang w:val="en-US"/>
        </w:rPr>
      </w:pPr>
    </w:p>
    <w:p w:rsidR="009803BC" w:rsidP="0041380C" w:rsidRDefault="0062760E" w14:paraId="20881076" w14:textId="7C7BBFB0">
      <w:pPr>
        <w:spacing w:line="276" w:lineRule="auto"/>
        <w:jc w:val="both"/>
        <w:rPr>
          <w:lang w:val="en-US"/>
        </w:rPr>
      </w:pPr>
      <w:r w:rsidRPr="0062760E">
        <w:rPr>
          <w:lang w:val="en-US"/>
        </w:rPr>
        <w:t xml:space="preserve">However, arguably of more concern with the HSE proposals is how they would disproportionately impact women, or more specifically ‘Women of Reproductive Capacity’ (WRC), as defined by the HSE. </w:t>
      </w:r>
      <w:proofErr w:type="gramStart"/>
      <w:r w:rsidRPr="0062760E">
        <w:rPr>
          <w:lang w:val="en-US"/>
        </w:rPr>
        <w:t>In order to</w:t>
      </w:r>
      <w:proofErr w:type="gramEnd"/>
      <w:r w:rsidRPr="0062760E">
        <w:rPr>
          <w:lang w:val="en-US"/>
        </w:rPr>
        <w:t xml:space="preserve"> protect the health of any unexpected </w:t>
      </w:r>
      <w:r w:rsidRPr="0062760E" w:rsidR="009803BC">
        <w:rPr>
          <w:lang w:val="en-US"/>
        </w:rPr>
        <w:t>pregnancies</w:t>
      </w:r>
      <w:r w:rsidRPr="0062760E">
        <w:rPr>
          <w:lang w:val="en-US"/>
        </w:rPr>
        <w:t xml:space="preserve">, </w:t>
      </w:r>
      <w:r w:rsidR="009803BC">
        <w:rPr>
          <w:lang w:val="en-US"/>
        </w:rPr>
        <w:t xml:space="preserve">it is proposed that </w:t>
      </w:r>
      <w:r w:rsidR="008855A7">
        <w:rPr>
          <w:lang w:val="en-US"/>
        </w:rPr>
        <w:t xml:space="preserve">all </w:t>
      </w:r>
      <w:r w:rsidR="009803BC">
        <w:rPr>
          <w:lang w:val="en-US"/>
        </w:rPr>
        <w:t xml:space="preserve">Women of Reproductive Capacity </w:t>
      </w:r>
      <w:r w:rsidR="0041380C">
        <w:rPr>
          <w:lang w:val="en-US"/>
        </w:rPr>
        <w:t xml:space="preserve">will </w:t>
      </w:r>
      <w:r w:rsidR="009803BC">
        <w:rPr>
          <w:lang w:val="en-US"/>
        </w:rPr>
        <w:t xml:space="preserve">need to </w:t>
      </w:r>
      <w:r w:rsidRPr="0041380C" w:rsidR="009803BC">
        <w:rPr>
          <w:lang w:val="en-US"/>
        </w:rPr>
        <w:t>comply</w:t>
      </w:r>
      <w:r w:rsidR="009803BC">
        <w:rPr>
          <w:lang w:val="en-US"/>
        </w:rPr>
        <w:t xml:space="preserve"> with a </w:t>
      </w:r>
      <w:r w:rsidRPr="009803BC" w:rsidR="009803BC">
        <w:rPr>
          <w:lang w:val="en-US"/>
        </w:rPr>
        <w:t xml:space="preserve">suspension level </w:t>
      </w:r>
      <w:r w:rsidR="009803BC">
        <w:rPr>
          <w:lang w:val="en-US"/>
        </w:rPr>
        <w:t xml:space="preserve">threshold </w:t>
      </w:r>
      <w:r w:rsidRPr="009803BC" w:rsidR="009803BC">
        <w:rPr>
          <w:lang w:val="en-US"/>
        </w:rPr>
        <w:t>that is half that of male counterparts, whilst doing the same work.</w:t>
      </w:r>
      <w:r w:rsidR="009803BC">
        <w:rPr>
          <w:lang w:val="en-US"/>
        </w:rPr>
        <w:t xml:space="preserve"> </w:t>
      </w:r>
      <w:r w:rsidRPr="001009C7" w:rsidR="001009C7">
        <w:rPr>
          <w:lang w:val="en-US"/>
        </w:rPr>
        <w:t xml:space="preserve">This particularly low threshold </w:t>
      </w:r>
      <w:r w:rsidRPr="0062760E">
        <w:rPr>
          <w:lang w:val="en-US"/>
        </w:rPr>
        <w:t xml:space="preserve">will be very challenging to achieve for female practitioners working in specific areas of heritage conservation, where up to 50% of the workforce are </w:t>
      </w:r>
      <w:r w:rsidR="00DF61F4">
        <w:rPr>
          <w:lang w:val="en-US"/>
        </w:rPr>
        <w:t>women</w:t>
      </w:r>
      <w:r w:rsidRPr="0062760E">
        <w:rPr>
          <w:lang w:val="en-US"/>
        </w:rPr>
        <w:t xml:space="preserve">, and appears to negate the basic human right of all women to have control over their own bodies. </w:t>
      </w:r>
      <w:r w:rsidRPr="009803BC" w:rsidR="009803BC">
        <w:rPr>
          <w:lang w:val="en-US"/>
        </w:rPr>
        <w:t xml:space="preserve">It will limit women’s ability to work in certain fields and undoubtedly reduce their employment opportunities </w:t>
      </w:r>
      <w:r w:rsidR="009803BC">
        <w:rPr>
          <w:lang w:val="en-US"/>
        </w:rPr>
        <w:t>across the heritage sector</w:t>
      </w:r>
      <w:r w:rsidRPr="009803BC" w:rsidR="009803BC">
        <w:rPr>
          <w:lang w:val="en-US"/>
        </w:rPr>
        <w:t>.</w:t>
      </w:r>
    </w:p>
    <w:p w:rsidR="0012168C" w:rsidP="0041380C" w:rsidRDefault="0012168C" w14:paraId="286DA7BD" w14:textId="77777777">
      <w:pPr>
        <w:spacing w:line="276" w:lineRule="auto"/>
        <w:jc w:val="both"/>
        <w:rPr>
          <w:lang w:val="en-US"/>
        </w:rPr>
      </w:pPr>
    </w:p>
    <w:p w:rsidR="0062760E" w:rsidP="0041380C" w:rsidRDefault="0012168C" w14:paraId="133546C7" w14:textId="75CC0F5B">
      <w:pPr>
        <w:spacing w:line="276" w:lineRule="auto"/>
        <w:jc w:val="both"/>
        <w:rPr>
          <w:lang w:val="en-US"/>
        </w:rPr>
      </w:pPr>
      <w:r>
        <w:rPr>
          <w:lang w:val="en-US"/>
        </w:rPr>
        <w:t>Consensus across the heritage sector regarding</w:t>
      </w:r>
      <w:r w:rsidR="005E0F5C">
        <w:rPr>
          <w:lang w:val="en-US"/>
        </w:rPr>
        <w:t xml:space="preserve"> realistically achievable </w:t>
      </w:r>
      <w:r>
        <w:rPr>
          <w:lang w:val="en-US"/>
        </w:rPr>
        <w:t>blood-lead levels is currently being explored, but I would suggest that a</w:t>
      </w:r>
      <w:r w:rsidR="002A3DB4">
        <w:rPr>
          <w:lang w:val="en-US"/>
        </w:rPr>
        <w:t xml:space="preserve">t </w:t>
      </w:r>
      <w:r w:rsidR="0054383A">
        <w:rPr>
          <w:lang w:val="en-US"/>
        </w:rPr>
        <w:t>[</w:t>
      </w:r>
      <w:r w:rsidRPr="0054383A" w:rsidR="0054383A">
        <w:rPr>
          <w:color w:val="EE0000"/>
          <w:lang w:val="en-US"/>
        </w:rPr>
        <w:t>organization/company</w:t>
      </w:r>
      <w:r w:rsidR="0054383A">
        <w:rPr>
          <w:lang w:val="en-US"/>
        </w:rPr>
        <w:t>]</w:t>
      </w:r>
      <w:r w:rsidR="002A3DB4">
        <w:rPr>
          <w:lang w:val="en-US"/>
        </w:rPr>
        <w:t>, an</w:t>
      </w:r>
      <w:r>
        <w:rPr>
          <w:lang w:val="en-US"/>
        </w:rPr>
        <w:t xml:space="preserve"> Action Level of </w:t>
      </w:r>
      <w:r w:rsidR="00934B6B">
        <w:rPr>
          <w:lang w:val="en-US"/>
        </w:rPr>
        <w:t>[</w:t>
      </w:r>
      <w:r w:rsidR="00934B6B">
        <w:rPr>
          <w:color w:val="EE0000"/>
          <w:lang w:val="en-US"/>
        </w:rPr>
        <w:t>XX</w:t>
      </w:r>
      <w:r w:rsidR="00934B6B">
        <w:rPr>
          <w:lang w:val="en-US"/>
        </w:rPr>
        <w:t>]</w:t>
      </w:r>
      <w:r w:rsidRPr="006F4E26">
        <w:t xml:space="preserve"> </w:t>
      </w:r>
      <w:proofErr w:type="spellStart"/>
      <w:r w:rsidRPr="006F4E26">
        <w:rPr>
          <w:lang w:val="en-US"/>
        </w:rPr>
        <w:t>μg</w:t>
      </w:r>
      <w:proofErr w:type="spellEnd"/>
      <w:r w:rsidRPr="006F4E26">
        <w:rPr>
          <w:lang w:val="en-US"/>
        </w:rPr>
        <w:t>/dL</w:t>
      </w:r>
      <w:r>
        <w:rPr>
          <w:lang w:val="en-US"/>
        </w:rPr>
        <w:t xml:space="preserve"> and a Suspension Level of </w:t>
      </w:r>
      <w:r w:rsidR="00934B6B">
        <w:rPr>
          <w:lang w:val="en-US"/>
        </w:rPr>
        <w:t>[</w:t>
      </w:r>
      <w:r w:rsidR="00934B6B">
        <w:rPr>
          <w:color w:val="EE0000"/>
          <w:lang w:val="en-US"/>
        </w:rPr>
        <w:t>XX</w:t>
      </w:r>
      <w:r w:rsidR="00934B6B">
        <w:rPr>
          <w:lang w:val="en-US"/>
        </w:rPr>
        <w:t xml:space="preserve">] </w:t>
      </w:r>
      <w:proofErr w:type="spellStart"/>
      <w:r w:rsidRPr="006F4E26">
        <w:rPr>
          <w:lang w:val="en-US"/>
        </w:rPr>
        <w:t>μg</w:t>
      </w:r>
      <w:proofErr w:type="spellEnd"/>
      <w:r w:rsidRPr="006F4E26">
        <w:rPr>
          <w:lang w:val="en-US"/>
        </w:rPr>
        <w:t>/dL</w:t>
      </w:r>
      <w:r>
        <w:rPr>
          <w:lang w:val="en-US"/>
        </w:rPr>
        <w:t xml:space="preserve"> for General Employees may be achievable by 2029. To ensure parity across the sexes, I would also suggest that </w:t>
      </w:r>
      <w:r w:rsidRPr="006F4E26">
        <w:rPr>
          <w:lang w:val="en-US"/>
        </w:rPr>
        <w:t xml:space="preserve">for the great majority of </w:t>
      </w:r>
      <w:r w:rsidR="007F46EE">
        <w:rPr>
          <w:lang w:val="en-US"/>
        </w:rPr>
        <w:t>‘</w:t>
      </w:r>
      <w:r w:rsidRPr="006F4E26">
        <w:rPr>
          <w:lang w:val="en-US"/>
        </w:rPr>
        <w:t>non-pregnant</w:t>
      </w:r>
      <w:r w:rsidR="007F46EE">
        <w:rPr>
          <w:lang w:val="en-US"/>
        </w:rPr>
        <w:t>’</w:t>
      </w:r>
      <w:r w:rsidRPr="006F4E26">
        <w:rPr>
          <w:lang w:val="en-US"/>
        </w:rPr>
        <w:t xml:space="preserve"> women</w:t>
      </w:r>
      <w:r>
        <w:rPr>
          <w:lang w:val="en-US"/>
        </w:rPr>
        <w:t>, these same General Employee levels be applied. The HSEs</w:t>
      </w:r>
      <w:r w:rsidRPr="005B530B">
        <w:rPr>
          <w:lang w:val="en-US"/>
        </w:rPr>
        <w:t xml:space="preserve"> </w:t>
      </w:r>
      <w:r w:rsidRPr="006F4E26">
        <w:rPr>
          <w:lang w:val="en-US"/>
        </w:rPr>
        <w:t xml:space="preserve">proposed 2027 lower action/suspension levels </w:t>
      </w:r>
      <w:r>
        <w:rPr>
          <w:lang w:val="en-US"/>
        </w:rPr>
        <w:t xml:space="preserve">would obviously </w:t>
      </w:r>
      <w:r w:rsidRPr="006F4E26">
        <w:rPr>
          <w:lang w:val="en-US"/>
        </w:rPr>
        <w:t xml:space="preserve">be </w:t>
      </w:r>
      <w:r w:rsidR="007F46EE">
        <w:rPr>
          <w:lang w:val="en-US"/>
        </w:rPr>
        <w:t>appropriate</w:t>
      </w:r>
      <w:r w:rsidRPr="006F4E26">
        <w:rPr>
          <w:lang w:val="en-US"/>
        </w:rPr>
        <w:t xml:space="preserve"> for pregnant women</w:t>
      </w:r>
      <w:r>
        <w:rPr>
          <w:lang w:val="en-US"/>
        </w:rPr>
        <w:t xml:space="preserve">, or indeed the ‘Young Person’ category, where </w:t>
      </w:r>
      <w:r w:rsidRPr="005B530B">
        <w:rPr>
          <w:lang w:val="en-US"/>
        </w:rPr>
        <w:t>neurodevelopmental health effects due to excessive exposure to lead</w:t>
      </w:r>
      <w:r>
        <w:rPr>
          <w:lang w:val="en-US"/>
        </w:rPr>
        <w:t xml:space="preserve"> are already clearly understood.</w:t>
      </w:r>
    </w:p>
    <w:p w:rsidR="0012168C" w:rsidP="0041380C" w:rsidRDefault="0012168C" w14:paraId="55F5D80C" w14:textId="77777777">
      <w:pPr>
        <w:spacing w:line="276" w:lineRule="auto"/>
        <w:jc w:val="both"/>
        <w:rPr>
          <w:lang w:val="en-US"/>
        </w:rPr>
      </w:pPr>
    </w:p>
    <w:p w:rsidR="00AF4D88" w:rsidP="0041380C" w:rsidRDefault="00AF4D88" w14:paraId="1293FDA4" w14:textId="60762956">
      <w:pPr>
        <w:spacing w:line="276" w:lineRule="auto"/>
        <w:jc w:val="both"/>
        <w:rPr>
          <w:lang w:val="en-US"/>
        </w:rPr>
      </w:pPr>
      <w:r>
        <w:rPr>
          <w:rFonts w:eastAsia="Times New Roman" w:cs="Arial"/>
          <w:color w:val="231F20"/>
        </w:rPr>
        <w:t xml:space="preserve">This rather existential problem is being urgently looked at by the Institute for Conservation  </w:t>
      </w:r>
      <w:hyperlink w:history="1" r:id="rId10">
        <w:r>
          <w:rPr>
            <w:rStyle w:val="Hyperlink"/>
            <w:rFonts w:eastAsia="Times New Roman" w:cs="Arial"/>
          </w:rPr>
          <w:t>https://www.icon.org.uk/resource/hse-opens-its-consultation-on-proposed-changes-to-the-control-of-lead-at-work-regulations-2002.html</w:t>
        </w:r>
      </w:hyperlink>
      <w:r>
        <w:rPr>
          <w:rFonts w:eastAsia="Times New Roman" w:cs="Arial"/>
          <w:color w:val="231F20"/>
        </w:rPr>
        <w:t>, alongside bodies such as Historic England, the Church Building Council and the National Trust.</w:t>
      </w:r>
      <w:r w:rsidR="0062760E">
        <w:rPr>
          <w:lang w:val="en-US"/>
        </w:rPr>
        <w:t xml:space="preserve"> </w:t>
      </w:r>
      <w:r w:rsidRPr="0062760E" w:rsidR="0062760E">
        <w:rPr>
          <w:lang w:val="en-US"/>
        </w:rPr>
        <w:t>We only have until 24</w:t>
      </w:r>
      <w:r w:rsidRPr="008855A7" w:rsidR="0062760E">
        <w:rPr>
          <w:vertAlign w:val="superscript"/>
          <w:lang w:val="en-US"/>
        </w:rPr>
        <w:t>th</w:t>
      </w:r>
      <w:r w:rsidRPr="0062760E" w:rsidR="0062760E">
        <w:rPr>
          <w:lang w:val="en-US"/>
        </w:rPr>
        <w:t xml:space="preserve"> May</w:t>
      </w:r>
      <w:r w:rsidR="0062760E">
        <w:rPr>
          <w:lang w:val="en-US"/>
        </w:rPr>
        <w:t xml:space="preserve"> 2026</w:t>
      </w:r>
      <w:r w:rsidRPr="0062760E" w:rsidR="0062760E">
        <w:rPr>
          <w:lang w:val="en-US"/>
        </w:rPr>
        <w:t xml:space="preserve"> to get as many people to respond and debate this issue as possible.  </w:t>
      </w:r>
    </w:p>
    <w:p w:rsidR="006F4E26" w:rsidP="0041380C" w:rsidRDefault="006F4E26" w14:paraId="363DA81B" w14:textId="77777777">
      <w:pPr>
        <w:spacing w:line="276" w:lineRule="auto"/>
        <w:jc w:val="both"/>
        <w:rPr>
          <w:lang w:val="en-US"/>
        </w:rPr>
      </w:pPr>
    </w:p>
    <w:p w:rsidR="0062760E" w:rsidP="0041380C" w:rsidRDefault="0062760E" w14:paraId="1962EB55" w14:textId="77777777">
      <w:pPr>
        <w:spacing w:line="276" w:lineRule="auto"/>
        <w:jc w:val="both"/>
        <w:rPr>
          <w:lang w:val="en-US"/>
        </w:rPr>
      </w:pPr>
    </w:p>
    <w:p w:rsidR="00AF4D88" w:rsidP="0041380C" w:rsidRDefault="0062760E" w14:paraId="1DE73AB0" w14:textId="45E6CBDB">
      <w:pPr>
        <w:spacing w:line="276" w:lineRule="auto"/>
        <w:jc w:val="both"/>
        <w:rPr>
          <w:lang w:val="en-US"/>
        </w:rPr>
      </w:pPr>
      <w:r>
        <w:rPr>
          <w:lang w:val="en-US"/>
        </w:rPr>
        <w:t>We</w:t>
      </w:r>
      <w:r w:rsidR="00AF4D88">
        <w:rPr>
          <w:lang w:val="en-US"/>
        </w:rPr>
        <w:t xml:space="preserve"> would </w:t>
      </w:r>
      <w:r>
        <w:rPr>
          <w:lang w:val="en-US"/>
        </w:rPr>
        <w:t>great</w:t>
      </w:r>
      <w:r w:rsidR="009B719E">
        <w:rPr>
          <w:lang w:val="en-US"/>
        </w:rPr>
        <w:t>ly</w:t>
      </w:r>
      <w:r>
        <w:rPr>
          <w:lang w:val="en-US"/>
        </w:rPr>
        <w:t xml:space="preserve"> appreciate</w:t>
      </w:r>
      <w:r w:rsidR="00AF4D88">
        <w:rPr>
          <w:lang w:val="en-US"/>
        </w:rPr>
        <w:t xml:space="preserve"> your support in this matter, enabling all parties to improve health outcomes, whilst also preserving employment opportunities for both men and women alike, and indeed </w:t>
      </w:r>
      <w:r w:rsidR="008855A7">
        <w:rPr>
          <w:lang w:val="en-US"/>
        </w:rPr>
        <w:t xml:space="preserve">preserving </w:t>
      </w:r>
      <w:r w:rsidR="00AF4D88">
        <w:rPr>
          <w:lang w:val="en-US"/>
        </w:rPr>
        <w:t>the skills necessary to look after our considerable wealth of historic built heritage.</w:t>
      </w:r>
    </w:p>
    <w:p w:rsidR="0062760E" w:rsidP="0041380C" w:rsidRDefault="0062760E" w14:paraId="07AE2A61" w14:textId="77777777">
      <w:pPr>
        <w:spacing w:line="276" w:lineRule="auto"/>
        <w:jc w:val="both"/>
        <w:rPr>
          <w:lang w:val="en-US"/>
        </w:rPr>
      </w:pPr>
    </w:p>
    <w:p w:rsidR="00AF4D88" w:rsidP="21D5179A" w:rsidRDefault="00AF4D88" w14:paraId="3D7ECE29" w14:textId="131BB481">
      <w:pPr>
        <w:spacing w:line="276" w:lineRule="auto"/>
        <w:jc w:val="both"/>
        <w:rPr>
          <w:lang w:val="en-GB"/>
        </w:rPr>
      </w:pPr>
      <w:r w:rsidRPr="21D5179A" w:rsidR="40FEEB3E">
        <w:rPr>
          <w:lang w:val="en-GB"/>
        </w:rPr>
        <w:t xml:space="preserve">If you would like to discuss this further, or require further information, please </w:t>
      </w:r>
      <w:r w:rsidRPr="21D5179A" w:rsidR="40FEEB3E">
        <w:rPr>
          <w:lang w:val="en-GB"/>
        </w:rPr>
        <w:t>don’t</w:t>
      </w:r>
      <w:r w:rsidRPr="21D5179A" w:rsidR="40FEEB3E">
        <w:rPr>
          <w:lang w:val="en-GB"/>
        </w:rPr>
        <w:t xml:space="preserve"> hesitate to contact m</w:t>
      </w:r>
      <w:r w:rsidRPr="21D5179A" w:rsidR="6ACAE6F8">
        <w:rPr>
          <w:lang w:val="en-GB"/>
        </w:rPr>
        <w:t>e</w:t>
      </w:r>
      <w:r w:rsidRPr="21D5179A" w:rsidR="25A72F6E">
        <w:rPr>
          <w:lang w:val="en-GB"/>
        </w:rPr>
        <w:t>…..</w:t>
      </w:r>
    </w:p>
    <w:p w:rsidRPr="00AF4D88" w:rsidR="00165D31" w:rsidRDefault="00165D31" w14:paraId="6E6596B7" w14:textId="77777777">
      <w:pPr>
        <w:rPr>
          <w:lang w:val="en-US"/>
        </w:rPr>
      </w:pPr>
    </w:p>
    <w:p w:rsidR="002D32C0" w:rsidP="003607FF" w:rsidRDefault="002D32C0" w14:paraId="00C2E818" w14:textId="77777777">
      <w:pPr>
        <w:rPr>
          <w:lang w:val="en-US"/>
        </w:rPr>
      </w:pPr>
    </w:p>
    <w:p w:rsidR="002D32C0" w:rsidP="003607FF" w:rsidRDefault="002D32C0" w14:paraId="6F4ACE59" w14:textId="77777777">
      <w:pPr>
        <w:rPr>
          <w:lang w:val="en-US"/>
        </w:rPr>
      </w:pPr>
    </w:p>
    <w:p w:rsidRPr="003607FF" w:rsidR="003607FF" w:rsidP="003607FF" w:rsidRDefault="003607FF" w14:paraId="21E90FE6" w14:textId="23DB1203">
      <w:pPr>
        <w:rPr>
          <w:lang w:val="en-US"/>
        </w:rPr>
      </w:pPr>
    </w:p>
    <w:sectPr w:rsidRPr="003607FF" w:rsidR="003607FF" w:rsidSect="0041380C">
      <w:pgSz w:w="11906" w:h="16838" w:orient="portrait"/>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03B27"/>
    <w:multiLevelType w:val="hybridMultilevel"/>
    <w:tmpl w:val="F710C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29980081">
    <w:abstractNumId w:val="0"/>
  </w:num>
  <w:num w:numId="2" w16cid:durableId="20245495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FF"/>
    <w:rsid w:val="00065D5F"/>
    <w:rsid w:val="000705BA"/>
    <w:rsid w:val="000E67EC"/>
    <w:rsid w:val="000F6E85"/>
    <w:rsid w:val="001009C7"/>
    <w:rsid w:val="0012168C"/>
    <w:rsid w:val="00132CBB"/>
    <w:rsid w:val="00157824"/>
    <w:rsid w:val="00165D31"/>
    <w:rsid w:val="0017126B"/>
    <w:rsid w:val="001A744B"/>
    <w:rsid w:val="002A3DB4"/>
    <w:rsid w:val="002C5A19"/>
    <w:rsid w:val="002D32C0"/>
    <w:rsid w:val="003363FF"/>
    <w:rsid w:val="0034063B"/>
    <w:rsid w:val="003569D9"/>
    <w:rsid w:val="003607FF"/>
    <w:rsid w:val="003B0578"/>
    <w:rsid w:val="00413263"/>
    <w:rsid w:val="0041380C"/>
    <w:rsid w:val="00416011"/>
    <w:rsid w:val="004472A7"/>
    <w:rsid w:val="00454F83"/>
    <w:rsid w:val="00483623"/>
    <w:rsid w:val="004B5EDE"/>
    <w:rsid w:val="004D5320"/>
    <w:rsid w:val="0054383A"/>
    <w:rsid w:val="005629BF"/>
    <w:rsid w:val="005B530B"/>
    <w:rsid w:val="005E0F5C"/>
    <w:rsid w:val="0062760E"/>
    <w:rsid w:val="0067303F"/>
    <w:rsid w:val="006A02A4"/>
    <w:rsid w:val="006C4B86"/>
    <w:rsid w:val="006D26B3"/>
    <w:rsid w:val="006E2D86"/>
    <w:rsid w:val="006F4E26"/>
    <w:rsid w:val="007F46EE"/>
    <w:rsid w:val="008456FC"/>
    <w:rsid w:val="00846456"/>
    <w:rsid w:val="008855A7"/>
    <w:rsid w:val="00934B6B"/>
    <w:rsid w:val="009803BC"/>
    <w:rsid w:val="00993D84"/>
    <w:rsid w:val="009B719E"/>
    <w:rsid w:val="009D00A5"/>
    <w:rsid w:val="00A10476"/>
    <w:rsid w:val="00A8281D"/>
    <w:rsid w:val="00A87AD1"/>
    <w:rsid w:val="00AC5A5F"/>
    <w:rsid w:val="00AF02CD"/>
    <w:rsid w:val="00AF4D88"/>
    <w:rsid w:val="00B976CC"/>
    <w:rsid w:val="00BB5600"/>
    <w:rsid w:val="00BC5A11"/>
    <w:rsid w:val="00C24DE3"/>
    <w:rsid w:val="00C26AFF"/>
    <w:rsid w:val="00C26D6B"/>
    <w:rsid w:val="00C42878"/>
    <w:rsid w:val="00CB7E8A"/>
    <w:rsid w:val="00D00308"/>
    <w:rsid w:val="00D25F7E"/>
    <w:rsid w:val="00D62343"/>
    <w:rsid w:val="00DE1A7C"/>
    <w:rsid w:val="00DF61F4"/>
    <w:rsid w:val="00E04792"/>
    <w:rsid w:val="00E04CF2"/>
    <w:rsid w:val="00E23C7A"/>
    <w:rsid w:val="00E32633"/>
    <w:rsid w:val="00EB7798"/>
    <w:rsid w:val="00F76068"/>
    <w:rsid w:val="00F871FA"/>
    <w:rsid w:val="00F9698D"/>
    <w:rsid w:val="00FD210A"/>
    <w:rsid w:val="00FE7CB2"/>
    <w:rsid w:val="21D5179A"/>
    <w:rsid w:val="25A72F6E"/>
    <w:rsid w:val="40FEEB3E"/>
    <w:rsid w:val="6ACAE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EF65"/>
  <w15:chartTrackingRefBased/>
  <w15:docId w15:val="{C5DC8C2E-E339-4A6C-9227-FDB67AE367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4D88"/>
    <w:pPr>
      <w:spacing w:after="0" w:line="240" w:lineRule="auto"/>
    </w:pPr>
  </w:style>
  <w:style w:type="paragraph" w:styleId="Heading1">
    <w:name w:val="heading 1"/>
    <w:basedOn w:val="Normal"/>
    <w:next w:val="Normal"/>
    <w:link w:val="Heading1Char"/>
    <w:uiPriority w:val="9"/>
    <w:qFormat/>
    <w:rsid w:val="003607FF"/>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7FF"/>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7F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7F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7F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7FF"/>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7FF"/>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7FF"/>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7FF"/>
    <w:pPr>
      <w:keepNext/>
      <w:keepLines/>
      <w:spacing w:line="278" w:lineRule="auto"/>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HHeaderCentreJustified" w:customStyle="1">
    <w:name w:val="CH Header (Centre Justified)"/>
    <w:basedOn w:val="Normal"/>
    <w:qFormat/>
    <w:rsid w:val="00454F83"/>
    <w:pPr>
      <w:spacing w:before="80"/>
      <w:jc w:val="center"/>
    </w:pPr>
    <w:rPr>
      <w:rFonts w:ascii="Arial" w:hAnsi="Arial" w:cs="Arial"/>
      <w:b/>
      <w:bCs/>
      <w:kern w:val="0"/>
      <w:sz w:val="20"/>
      <w:szCs w:val="20"/>
      <w14:ligatures w14:val="none"/>
    </w:rPr>
  </w:style>
  <w:style w:type="paragraph" w:styleId="CHHeaderRHJustified" w:customStyle="1">
    <w:name w:val="CH Header (RH Justified)"/>
    <w:basedOn w:val="Normal"/>
    <w:qFormat/>
    <w:rsid w:val="00454F83"/>
    <w:pPr>
      <w:spacing w:before="80" w:line="276" w:lineRule="auto"/>
      <w:jc w:val="right"/>
    </w:pPr>
    <w:rPr>
      <w:rFonts w:ascii="Arial" w:hAnsi="Arial" w:cs="Arial"/>
      <w:b/>
      <w:bCs/>
      <w:kern w:val="0"/>
      <w:sz w:val="20"/>
      <w:szCs w:val="20"/>
      <w14:ligatures w14:val="none"/>
    </w:rPr>
  </w:style>
  <w:style w:type="character" w:styleId="Heading1Char" w:customStyle="1">
    <w:name w:val="Heading 1 Char"/>
    <w:basedOn w:val="DefaultParagraphFont"/>
    <w:link w:val="Heading1"/>
    <w:uiPriority w:val="9"/>
    <w:rsid w:val="003607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07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07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07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07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07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07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07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07FF"/>
    <w:rPr>
      <w:rFonts w:eastAsiaTheme="majorEastAsia" w:cstheme="majorBidi"/>
      <w:color w:val="272727" w:themeColor="text1" w:themeTint="D8"/>
    </w:rPr>
  </w:style>
  <w:style w:type="paragraph" w:styleId="Title">
    <w:name w:val="Title"/>
    <w:basedOn w:val="Normal"/>
    <w:next w:val="Normal"/>
    <w:link w:val="TitleChar"/>
    <w:uiPriority w:val="10"/>
    <w:qFormat/>
    <w:rsid w:val="003607F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07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07FF"/>
    <w:pPr>
      <w:numPr>
        <w:ilvl w:val="1"/>
      </w:numPr>
      <w:spacing w:after="160"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0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FF"/>
    <w:pPr>
      <w:spacing w:before="160" w:after="160" w:line="278" w:lineRule="auto"/>
      <w:jc w:val="center"/>
    </w:pPr>
    <w:rPr>
      <w:i/>
      <w:iCs/>
      <w:color w:val="404040" w:themeColor="text1" w:themeTint="BF"/>
    </w:rPr>
  </w:style>
  <w:style w:type="character" w:styleId="QuoteChar" w:customStyle="1">
    <w:name w:val="Quote Char"/>
    <w:basedOn w:val="DefaultParagraphFont"/>
    <w:link w:val="Quote"/>
    <w:uiPriority w:val="29"/>
    <w:rsid w:val="003607FF"/>
    <w:rPr>
      <w:i/>
      <w:iCs/>
      <w:color w:val="404040" w:themeColor="text1" w:themeTint="BF"/>
    </w:rPr>
  </w:style>
  <w:style w:type="paragraph" w:styleId="ListParagraph">
    <w:name w:val="List Paragraph"/>
    <w:basedOn w:val="Normal"/>
    <w:uiPriority w:val="34"/>
    <w:qFormat/>
    <w:rsid w:val="003607FF"/>
    <w:pPr>
      <w:spacing w:after="160" w:line="278" w:lineRule="auto"/>
      <w:ind w:left="720"/>
      <w:contextualSpacing/>
    </w:pPr>
  </w:style>
  <w:style w:type="character" w:styleId="IntenseEmphasis">
    <w:name w:val="Intense Emphasis"/>
    <w:basedOn w:val="DefaultParagraphFont"/>
    <w:uiPriority w:val="21"/>
    <w:qFormat/>
    <w:rsid w:val="003607FF"/>
    <w:rPr>
      <w:i/>
      <w:iCs/>
      <w:color w:val="0F4761" w:themeColor="accent1" w:themeShade="BF"/>
    </w:rPr>
  </w:style>
  <w:style w:type="paragraph" w:styleId="IntenseQuote">
    <w:name w:val="Intense Quote"/>
    <w:basedOn w:val="Normal"/>
    <w:next w:val="Normal"/>
    <w:link w:val="IntenseQuoteChar"/>
    <w:uiPriority w:val="30"/>
    <w:qFormat/>
    <w:rsid w:val="003607FF"/>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07FF"/>
    <w:rPr>
      <w:i/>
      <w:iCs/>
      <w:color w:val="0F4761" w:themeColor="accent1" w:themeShade="BF"/>
    </w:rPr>
  </w:style>
  <w:style w:type="character" w:styleId="IntenseReference">
    <w:name w:val="Intense Reference"/>
    <w:basedOn w:val="DefaultParagraphFont"/>
    <w:uiPriority w:val="32"/>
    <w:qFormat/>
    <w:rsid w:val="003607FF"/>
    <w:rPr>
      <w:b/>
      <w:bCs/>
      <w:smallCaps/>
      <w:color w:val="0F4761" w:themeColor="accent1" w:themeShade="BF"/>
      <w:spacing w:val="5"/>
    </w:rPr>
  </w:style>
  <w:style w:type="character" w:styleId="Hyperlink">
    <w:name w:val="Hyperlink"/>
    <w:basedOn w:val="DefaultParagraphFont"/>
    <w:uiPriority w:val="99"/>
    <w:semiHidden/>
    <w:unhideWhenUsed/>
    <w:rsid w:val="002D3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icon.org.uk/resource/hse-opens-its-consultation-on-proposed-changes-to-the-control-of-lead-at-work-regulations-2002.html" TargetMode="External" Id="rId10" /><Relationship Type="http://schemas.openxmlformats.org/officeDocument/2006/relationships/customXml" Target="../customXml/item4.xml" Id="rId4" /><Relationship Type="http://schemas.openxmlformats.org/officeDocument/2006/relationships/hyperlink" Target="https://consultations.hse.gov.uk/hse/control-lead-at-work-regs-2002-exposure-guidance/?utm_campaign=Group%2BIconnect%2B-%2BHSE%2BConsultation%2BLead%2BLevels&amp;utm_medium=emai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ef66b6-230b-485a-897e-c57cb2828f0c">
      <Terms xmlns="http://schemas.microsoft.com/office/infopath/2007/PartnerControls"/>
    </lcf76f155ced4ddcb4097134ff3c332f>
    <TaxCatchAll xmlns="9326bd46-8c2c-4879-b44c-ce965f3ac5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857733cf1255cad0fc9c221677f86f9c">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2136d6bb18d972940b26f6eb0b12eb0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E4606-FD6D-4D41-A2F3-239194DC1AAF}">
  <ds:schemaRefs>
    <ds:schemaRef ds:uri="http://schemas.microsoft.com/sharepoint/v3/contenttype/forms"/>
  </ds:schemaRefs>
</ds:datastoreItem>
</file>

<file path=customXml/itemProps2.xml><?xml version="1.0" encoding="utf-8"?>
<ds:datastoreItem xmlns:ds="http://schemas.openxmlformats.org/officeDocument/2006/customXml" ds:itemID="{EB5071DE-9E4C-4A85-84D5-FCCBD8356718}">
  <ds:schemaRefs>
    <ds:schemaRef ds:uri="http://schemas.openxmlformats.org/officeDocument/2006/bibliography"/>
  </ds:schemaRefs>
</ds:datastoreItem>
</file>

<file path=customXml/itemProps3.xml><?xml version="1.0" encoding="utf-8"?>
<ds:datastoreItem xmlns:ds="http://schemas.openxmlformats.org/officeDocument/2006/customXml" ds:itemID="{C28B90BC-0DE9-4999-8528-42CEDAC79AE3}">
  <ds:schemaRefs>
    <ds:schemaRef ds:uri="http://schemas.microsoft.com/office/2006/metadata/properties"/>
    <ds:schemaRef ds:uri="http://schemas.microsoft.com/office/infopath/2007/PartnerControls"/>
    <ds:schemaRef ds:uri="6e1b5c39-e685-4a6c-8168-de567a692b28"/>
    <ds:schemaRef ds:uri="43018928-49a9-4be7-95db-dbc31a4810a6"/>
  </ds:schemaRefs>
</ds:datastoreItem>
</file>

<file path=customXml/itemProps4.xml><?xml version="1.0" encoding="utf-8"?>
<ds:datastoreItem xmlns:ds="http://schemas.openxmlformats.org/officeDocument/2006/customXml" ds:itemID="{66EAB7BF-D3DD-4E47-BFE2-4D530ED916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Beal</dc:creator>
  <keywords/>
  <dc:description/>
  <lastModifiedBy>Emma Jhita</lastModifiedBy>
  <revision>3</revision>
  <dcterms:created xsi:type="dcterms:W3CDTF">2026-04-20T08:43:00.0000000Z</dcterms:created>
  <dcterms:modified xsi:type="dcterms:W3CDTF">2026-04-24T14:23:52.9004057Z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3720100</vt:r8>
  </property>
  <property fmtid="{D5CDD505-2E9C-101B-9397-08002B2CF9AE}" pid="3" name="ContentTypeId">
    <vt:lpwstr>0x0101004BDF49E0CE88F84DADA339AA8A6B4484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